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5C" w:rsidRPr="001E013C" w:rsidRDefault="00321C5C" w:rsidP="00321C5C">
      <w:pPr>
        <w:spacing w:after="120"/>
        <w:jc w:val="center"/>
        <w:rPr>
          <w:b/>
          <w:bCs/>
          <w:u w:val="single"/>
        </w:rPr>
      </w:pPr>
      <w:r w:rsidRPr="001E013C">
        <w:rPr>
          <w:b/>
          <w:bCs/>
          <w:u w:val="single"/>
        </w:rPr>
        <w:t xml:space="preserve">A perspetiva do GREI sobre o processo de reforma do comando superior das Forças Armadas </w:t>
      </w:r>
    </w:p>
    <w:p w:rsidR="00321C5C" w:rsidRPr="00F85CC4" w:rsidRDefault="00321C5C" w:rsidP="00321C5C">
      <w:pPr>
        <w:spacing w:after="80"/>
        <w:jc w:val="both"/>
        <w:rPr>
          <w:rFonts w:cstheme="minorHAnsi"/>
        </w:rPr>
      </w:pPr>
      <w:r>
        <w:t xml:space="preserve">Em 17 de fevereiro passado tomámos conhecimento, através de uma notícia publicada no jornal “Observador”, de que o </w:t>
      </w:r>
      <w:r w:rsidR="00F3300C">
        <w:t xml:space="preserve">senhor </w:t>
      </w:r>
      <w:r>
        <w:t>Ministro da Defesa Nacional (MDN) tinha referido, durante uma entrevista concedida à Lusa, que iria propor ao Parlamento o alargamento das competências do Chefe do Estado-Maior-General das Forças Armadas (CEMGFA), de modo a que passasse a deter o Comando Completo de toda a atividade militar.</w:t>
      </w:r>
    </w:p>
    <w:p w:rsidR="00321C5C" w:rsidRDefault="00321C5C" w:rsidP="00321C5C">
      <w:pPr>
        <w:spacing w:after="80"/>
        <w:jc w:val="both"/>
      </w:pPr>
      <w:r w:rsidRPr="00F85CC4">
        <w:rPr>
          <w:rFonts w:cstheme="minorHAnsi"/>
        </w:rPr>
        <w:t>Essa alteração teria dois objetivos principais: em primei</w:t>
      </w:r>
      <w:r>
        <w:t>ro lugar, habilitar o CEMGFA a “[ter] à sua disposição a qualquer momento as forças de que precisa para executar as suas missões”; em segundo lugar, favorecer a formação de uma “visão de conjunto” sobre as necessidades e processos de investimento das Forças Armadas (FFAA).</w:t>
      </w:r>
    </w:p>
    <w:p w:rsidR="00321C5C" w:rsidRDefault="00321C5C" w:rsidP="00321C5C">
      <w:pPr>
        <w:spacing w:after="80"/>
        <w:jc w:val="both"/>
      </w:pPr>
      <w:r>
        <w:t>Na ocasião, o MDN esclareceu que o projeto de reforma anunciado contava com o apoio das chefias militares, estando apenas em aberto “algumas interrogações” sobre o modo como o novo modelo “poderia funcionar”.</w:t>
      </w:r>
    </w:p>
    <w:p w:rsidR="00321C5C" w:rsidRDefault="00321C5C" w:rsidP="00321C5C">
      <w:pPr>
        <w:spacing w:after="80"/>
        <w:jc w:val="both"/>
      </w:pPr>
      <w:r>
        <w:t xml:space="preserve">Estas declarações foram a primeira indicação pública de que se estava a preparar uma mudança política e programática na estrutura superior de comando das FFAA. </w:t>
      </w:r>
    </w:p>
    <w:p w:rsidR="00321C5C" w:rsidRDefault="00321C5C" w:rsidP="00321C5C">
      <w:pPr>
        <w:spacing w:after="80"/>
        <w:jc w:val="both"/>
      </w:pPr>
      <w:r>
        <w:t xml:space="preserve">A concetualização da ideia – sem precedentes no período do Estado Novo, nem no atual regime democrático – inspirou um sentimento de apreensão em antigos chefes militares e num número significativo de oficias generais </w:t>
      </w:r>
      <w:r w:rsidR="00F3300C">
        <w:t>retirados do ativo</w:t>
      </w:r>
      <w:r>
        <w:t>; a isso não será estranha a sua experiência do passado.</w:t>
      </w:r>
    </w:p>
    <w:p w:rsidR="00321C5C" w:rsidRDefault="00321C5C" w:rsidP="00321C5C">
      <w:pPr>
        <w:spacing w:after="80"/>
        <w:jc w:val="both"/>
      </w:pPr>
      <w:r>
        <w:t>Logo de seguida, cresceu</w:t>
      </w:r>
      <w:r w:rsidRPr="0089581C">
        <w:t xml:space="preserve"> </w:t>
      </w:r>
      <w:r>
        <w:t xml:space="preserve">sobre essa apreensão uma preocupação objetiva – cívica e técnica – perante os métodos, os processos e as declarações que se estavam a observar, pouco respeitadores do modelo de atuação institucional que </w:t>
      </w:r>
      <w:r w:rsidR="00F3300C">
        <w:t>deveria ter prevalecido</w:t>
      </w:r>
      <w:r>
        <w:t xml:space="preserve">. </w:t>
      </w:r>
    </w:p>
    <w:p w:rsidR="00321C5C" w:rsidRDefault="00321C5C" w:rsidP="00321C5C">
      <w:pPr>
        <w:spacing w:after="80"/>
        <w:jc w:val="both"/>
      </w:pPr>
      <w:r>
        <w:t>No essencial, as críticas incidiram: nas grandes linhas da reforma e na sua</w:t>
      </w:r>
      <w:r w:rsidRPr="00F85CC4">
        <w:t xml:space="preserve"> fragilidade con</w:t>
      </w:r>
      <w:r>
        <w:rPr>
          <w:rFonts w:cstheme="minorHAnsi"/>
        </w:rPr>
        <w:t>cetual e doutrinária; na pouca atenção prestada a princípios e valores das FFAA, como instituição e como organização; na noção de oportunidade do MDN ao anunciar uma reforma deste tipo num contexto interno de múltiplas crises; nas dissimetrias verificadas entre as prioridades – reais e aparentes – definidas pelo Governo para as FFAA; n</w:t>
      </w:r>
      <w:r>
        <w:t>a opção de revelar uma medida desta envergadura através de órgãos de comunicação social.</w:t>
      </w:r>
    </w:p>
    <w:p w:rsidR="00321C5C" w:rsidRDefault="00321C5C" w:rsidP="00321C5C">
      <w:pPr>
        <w:spacing w:after="80"/>
        <w:jc w:val="both"/>
      </w:pPr>
      <w:r>
        <w:t xml:space="preserve">O Grupo de Reflexão Estratégica Independente (GREI) partilhou no essencial esses pontos de vista, mas julgou conveniente conhecer e compreender melhor as decisões que sustentaram a necessidade da reforma, a sua conceção e possível execução. </w:t>
      </w:r>
    </w:p>
    <w:p w:rsidR="00321C5C" w:rsidRDefault="00321C5C" w:rsidP="00321C5C">
      <w:pPr>
        <w:spacing w:after="80"/>
        <w:jc w:val="both"/>
      </w:pPr>
      <w:r>
        <w:t>Porém, o GREI não conseguiu ter acesso a qualquer tipo de informação que esclarecesse minimamente o seu interesse. A explicação poderá residir no tratamento reservado dado à maior parte dos estudos ou, no limite, à inexistência de certos estudos.</w:t>
      </w:r>
    </w:p>
    <w:p w:rsidR="00321C5C" w:rsidRDefault="00321C5C" w:rsidP="00321C5C">
      <w:pPr>
        <w:spacing w:after="80"/>
        <w:jc w:val="both"/>
      </w:pPr>
      <w:r>
        <w:t xml:space="preserve">Soube-se apenas que o MDN teria considerado necessário adequar a estrutura superior das FFAA aos modelos que vigoram na generalidade dos países </w:t>
      </w:r>
      <w:r w:rsidR="00F3300C">
        <w:t xml:space="preserve">da </w:t>
      </w:r>
      <w:r w:rsidR="001E013C">
        <w:t>“</w:t>
      </w:r>
      <w:r w:rsidR="00F3300C">
        <w:t>Europa Ocidental e Atlântica”</w:t>
      </w:r>
      <w:r>
        <w:t xml:space="preserve">. Sem outra informação mais precisa, ficámos sem saber como é </w:t>
      </w:r>
      <w:r w:rsidR="00530C34">
        <w:t xml:space="preserve">que </w:t>
      </w:r>
      <w:r>
        <w:t xml:space="preserve">o paralelismo com </w:t>
      </w:r>
      <w:bookmarkStart w:id="0" w:name="OLE_LINK2"/>
      <w:bookmarkStart w:id="1" w:name="OLE_LINK1"/>
      <w:r>
        <w:t xml:space="preserve">modelos estrangeiros </w:t>
      </w:r>
      <w:bookmarkEnd w:id="0"/>
      <w:bookmarkEnd w:id="1"/>
      <w:r>
        <w:t>poderá ser posto em prática entre nós, e quais os reajustamentos que será necessário garantir nos setores, órgãos e serviços da defesa nacional que se articulam com a estrutura superior das Forças Armadas</w:t>
      </w:r>
      <w:r w:rsidR="00F3300C">
        <w:t>, pois que se saiba esses modelos são todos diferenciados e certamente terão na sua origem razões de natureza histórica e operacional que aparentemente não serão de considerar no caso português.</w:t>
      </w:r>
    </w:p>
    <w:p w:rsidR="00321C5C" w:rsidRDefault="00321C5C" w:rsidP="00321C5C">
      <w:pPr>
        <w:spacing w:after="120"/>
        <w:jc w:val="both"/>
        <w:rPr>
          <w:rFonts w:cstheme="minorHAnsi"/>
        </w:rPr>
      </w:pPr>
      <w:r>
        <w:lastRenderedPageBreak/>
        <w:t xml:space="preserve">Perante o insucesso desta abordagem, o GREI decidiu elaborar um estudo sobre os seis temas </w:t>
      </w:r>
      <w:r>
        <w:rPr>
          <w:rFonts w:cstheme="minorHAnsi"/>
        </w:rPr>
        <w:t>que o MDN tinha abordado na sua entrevista à Lusa, nomeadamente:</w:t>
      </w:r>
    </w:p>
    <w:p w:rsidR="00321C5C" w:rsidRDefault="00321C5C" w:rsidP="00321C5C">
      <w:pPr>
        <w:pStyle w:val="ndice2"/>
        <w:rPr>
          <w:b w:val="0"/>
          <w:noProof/>
        </w:rPr>
      </w:pPr>
      <w:r w:rsidRPr="00321C5C">
        <w:rPr>
          <w:bCs w:val="0"/>
        </w:rPr>
        <w:t>(1)</w:t>
      </w:r>
      <w:r>
        <w:rPr>
          <w:b w:val="0"/>
        </w:rPr>
        <w:t xml:space="preserve"> “</w:t>
      </w:r>
      <w:hyperlink r:id="rId7" w:anchor="_Toc67867506" w:history="1">
        <w:r>
          <w:rPr>
            <w:rStyle w:val="Hiperligao"/>
            <w:rFonts w:cstheme="minorHAnsi"/>
            <w:b w:val="0"/>
            <w:bCs w:val="0"/>
            <w:i/>
            <w:iCs/>
            <w:noProof/>
            <w:color w:val="auto"/>
            <w:u w:val="none"/>
          </w:rPr>
          <w:t>Reforçar as competências do CEMGFA, colocando os Ramos sob sua autoridade</w:t>
        </w:r>
      </w:hyperlink>
      <w:r>
        <w:rPr>
          <w:b w:val="0"/>
          <w:noProof/>
        </w:rPr>
        <w:t>”;</w:t>
      </w:r>
    </w:p>
    <w:p w:rsidR="00321C5C" w:rsidRDefault="00321C5C" w:rsidP="00321C5C">
      <w:pPr>
        <w:pStyle w:val="ndice2"/>
        <w:rPr>
          <w:b w:val="0"/>
          <w:noProof/>
        </w:rPr>
      </w:pPr>
      <w:r w:rsidRPr="00321C5C">
        <w:rPr>
          <w:rFonts w:eastAsiaTheme="minorEastAsia"/>
          <w:bCs w:val="0"/>
          <w:noProof/>
          <w:lang w:eastAsia="pt-PT"/>
        </w:rPr>
        <w:t>(2)</w:t>
      </w:r>
      <w:r>
        <w:rPr>
          <w:rFonts w:eastAsiaTheme="minorEastAsia"/>
          <w:b w:val="0"/>
          <w:noProof/>
          <w:lang w:eastAsia="pt-PT"/>
        </w:rPr>
        <w:t xml:space="preserve"> “</w:t>
      </w:r>
      <w:hyperlink r:id="rId8" w:anchor="_Toc67867507" w:history="1">
        <w:r>
          <w:rPr>
            <w:rStyle w:val="Hiperligao"/>
            <w:rFonts w:cstheme="minorHAnsi"/>
            <w:b w:val="0"/>
            <w:bCs w:val="0"/>
            <w:i/>
            <w:iCs/>
            <w:noProof/>
            <w:color w:val="auto"/>
            <w:u w:val="none"/>
          </w:rPr>
          <w:t>Circunscrever os CEM à geração de forças, seu aprontamento e sustentação</w:t>
        </w:r>
      </w:hyperlink>
      <w:r>
        <w:rPr>
          <w:b w:val="0"/>
          <w:noProof/>
        </w:rPr>
        <w:t>”;</w:t>
      </w:r>
    </w:p>
    <w:p w:rsidR="00321C5C" w:rsidRDefault="00321C5C" w:rsidP="00321C5C">
      <w:pPr>
        <w:pStyle w:val="ndice2"/>
        <w:rPr>
          <w:rFonts w:eastAsiaTheme="minorEastAsia"/>
          <w:b w:val="0"/>
          <w:noProof/>
          <w:lang w:eastAsia="pt-PT"/>
        </w:rPr>
      </w:pPr>
      <w:r w:rsidRPr="00321C5C">
        <w:rPr>
          <w:rFonts w:eastAsiaTheme="minorEastAsia"/>
          <w:bCs w:val="0"/>
          <w:noProof/>
          <w:lang w:eastAsia="pt-PT"/>
        </w:rPr>
        <w:t>(3)</w:t>
      </w:r>
      <w:r>
        <w:rPr>
          <w:rFonts w:eastAsiaTheme="minorEastAsia"/>
          <w:b w:val="0"/>
          <w:noProof/>
          <w:lang w:eastAsia="pt-PT"/>
        </w:rPr>
        <w:t xml:space="preserve"> </w:t>
      </w:r>
      <w:r>
        <w:rPr>
          <w:b w:val="0"/>
        </w:rPr>
        <w:t>“</w:t>
      </w:r>
      <w:hyperlink r:id="rId9" w:anchor="_Toc67867508" w:history="1">
        <w:r>
          <w:rPr>
            <w:rStyle w:val="Hiperligao"/>
            <w:rFonts w:cstheme="minorHAnsi"/>
            <w:b w:val="0"/>
            <w:bCs w:val="0"/>
            <w:i/>
            <w:iCs/>
            <w:noProof/>
            <w:color w:val="auto"/>
            <w:u w:val="none"/>
          </w:rPr>
          <w:t>CEMGFA a realizar missões reguladas por legislação própria</w:t>
        </w:r>
      </w:hyperlink>
      <w:r>
        <w:rPr>
          <w:b w:val="0"/>
          <w:noProof/>
        </w:rPr>
        <w:t>”</w:t>
      </w:r>
      <w:r>
        <w:rPr>
          <w:rFonts w:eastAsiaTheme="minorEastAsia"/>
          <w:b w:val="0"/>
          <w:noProof/>
          <w:lang w:eastAsia="pt-PT"/>
        </w:rPr>
        <w:t>;</w:t>
      </w:r>
    </w:p>
    <w:p w:rsidR="00321C5C" w:rsidRDefault="00321C5C" w:rsidP="00321C5C">
      <w:pPr>
        <w:pStyle w:val="ndice2"/>
        <w:rPr>
          <w:rFonts w:eastAsiaTheme="minorEastAsia"/>
          <w:b w:val="0"/>
          <w:noProof/>
          <w:lang w:eastAsia="pt-PT"/>
        </w:rPr>
      </w:pPr>
      <w:r w:rsidRPr="00321C5C">
        <w:rPr>
          <w:rFonts w:eastAsiaTheme="minorEastAsia"/>
          <w:bCs w:val="0"/>
          <w:noProof/>
          <w:lang w:eastAsia="pt-PT"/>
        </w:rPr>
        <w:t>(4)</w:t>
      </w:r>
      <w:r>
        <w:rPr>
          <w:rFonts w:eastAsiaTheme="minorEastAsia"/>
          <w:b w:val="0"/>
          <w:noProof/>
          <w:lang w:eastAsia="pt-PT"/>
        </w:rPr>
        <w:t xml:space="preserve"> “</w:t>
      </w:r>
      <w:hyperlink r:id="rId10" w:anchor="_Toc67867509" w:history="1">
        <w:r>
          <w:rPr>
            <w:rStyle w:val="Hiperligao"/>
            <w:rFonts w:cstheme="minorHAnsi"/>
            <w:b w:val="0"/>
            <w:bCs w:val="0"/>
            <w:i/>
            <w:iCs/>
            <w:noProof/>
            <w:color w:val="auto"/>
            <w:u w:val="none"/>
          </w:rPr>
          <w:t>Os CEM deixam de despachar com o MDN</w:t>
        </w:r>
      </w:hyperlink>
      <w:r>
        <w:rPr>
          <w:b w:val="0"/>
          <w:noProof/>
        </w:rPr>
        <w:t>”</w:t>
      </w:r>
      <w:r>
        <w:rPr>
          <w:rFonts w:eastAsiaTheme="minorEastAsia"/>
          <w:b w:val="0"/>
          <w:noProof/>
          <w:lang w:eastAsia="pt-PT"/>
        </w:rPr>
        <w:t>;</w:t>
      </w:r>
    </w:p>
    <w:p w:rsidR="00321C5C" w:rsidRDefault="00321C5C" w:rsidP="00321C5C">
      <w:pPr>
        <w:pStyle w:val="ndice2"/>
        <w:rPr>
          <w:b w:val="0"/>
          <w:noProof/>
        </w:rPr>
      </w:pPr>
      <w:r w:rsidRPr="00321C5C">
        <w:rPr>
          <w:rFonts w:eastAsiaTheme="minorEastAsia"/>
          <w:bCs w:val="0"/>
          <w:noProof/>
          <w:lang w:eastAsia="pt-PT"/>
        </w:rPr>
        <w:t>(5)</w:t>
      </w:r>
      <w:r>
        <w:rPr>
          <w:rFonts w:eastAsiaTheme="minorEastAsia"/>
          <w:b w:val="0"/>
          <w:noProof/>
          <w:lang w:eastAsia="pt-PT"/>
        </w:rPr>
        <w:t xml:space="preserve"> “</w:t>
      </w:r>
      <w:hyperlink r:id="rId11" w:anchor="_Toc67867510" w:history="1">
        <w:r>
          <w:rPr>
            <w:rStyle w:val="Hiperligao"/>
            <w:rFonts w:cstheme="minorHAnsi"/>
            <w:b w:val="0"/>
            <w:bCs w:val="0"/>
            <w:i/>
            <w:iCs/>
            <w:noProof/>
            <w:color w:val="auto"/>
            <w:u w:val="none"/>
          </w:rPr>
          <w:t>O CEMGFA com capacidade para coordenar os EM dos ramos</w:t>
        </w:r>
      </w:hyperlink>
      <w:r>
        <w:rPr>
          <w:b w:val="0"/>
          <w:noProof/>
        </w:rPr>
        <w:t xml:space="preserve">”; </w:t>
      </w:r>
    </w:p>
    <w:p w:rsidR="00321C5C" w:rsidRPr="00F85CC4" w:rsidRDefault="00321C5C" w:rsidP="00321C5C">
      <w:pPr>
        <w:spacing w:after="120"/>
        <w:ind w:firstLine="284"/>
        <w:jc w:val="both"/>
      </w:pPr>
      <w:r w:rsidRPr="00321C5C">
        <w:rPr>
          <w:b/>
          <w:bCs/>
          <w:noProof/>
        </w:rPr>
        <w:t>(6)</w:t>
      </w:r>
      <w:r>
        <w:rPr>
          <w:b/>
          <w:noProof/>
        </w:rPr>
        <w:t xml:space="preserve"> </w:t>
      </w:r>
      <w:r w:rsidRPr="00F85CC4">
        <w:rPr>
          <w:rFonts w:eastAsiaTheme="minorEastAsia"/>
          <w:noProof/>
          <w:lang w:eastAsia="pt-PT"/>
        </w:rPr>
        <w:t>“</w:t>
      </w:r>
      <w:hyperlink r:id="rId12" w:anchor="_Toc67867511" w:history="1">
        <w:r w:rsidRPr="00F85CC4">
          <w:rPr>
            <w:rStyle w:val="Hiperligao"/>
            <w:rFonts w:cstheme="minorHAnsi"/>
            <w:bCs/>
            <w:i/>
            <w:iCs/>
            <w:noProof/>
            <w:color w:val="auto"/>
            <w:u w:val="none"/>
          </w:rPr>
          <w:t>O CCEM deixará de coordenar tarefas e de ter competências deliberativas</w:t>
        </w:r>
      </w:hyperlink>
      <w:r w:rsidRPr="00F85CC4">
        <w:rPr>
          <w:noProof/>
        </w:rPr>
        <w:t>”.</w:t>
      </w:r>
    </w:p>
    <w:p w:rsidR="00321C5C" w:rsidRDefault="00321C5C" w:rsidP="00321C5C">
      <w:pPr>
        <w:spacing w:after="80"/>
        <w:jc w:val="both"/>
        <w:rPr>
          <w:rFonts w:cstheme="minorHAnsi"/>
        </w:rPr>
      </w:pPr>
      <w:r>
        <w:t xml:space="preserve">O </w:t>
      </w:r>
      <w:r w:rsidRPr="00F85CC4">
        <w:t>estudo</w:t>
      </w:r>
      <w:r>
        <w:t>, datado de</w:t>
      </w:r>
      <w:r w:rsidRPr="00F85CC4">
        <w:t xml:space="preserve"> </w:t>
      </w:r>
      <w:r>
        <w:t>05 de março</w:t>
      </w:r>
      <w:r w:rsidRPr="00F85CC4">
        <w:t>, foi levado ao conhecimento e consideração d</w:t>
      </w:r>
      <w:r w:rsidR="00F3300C">
        <w:t>e Suas Excelências o</w:t>
      </w:r>
      <w:r w:rsidRPr="00F85CC4">
        <w:t xml:space="preserve"> Presidente da República, o Presidente da Assembleia da República, o Primeiro-Ministro e dos Secretários</w:t>
      </w:r>
      <w:r>
        <w:rPr>
          <w:rFonts w:cstheme="minorHAnsi"/>
        </w:rPr>
        <w:t>-gerais ou Presidentes dos Partidos Políticos com assento na Comissão de Defesa Nacional da Assembleia da República. Esperamos que esses elementos possam ter alguma utilidade para os destinatários institucionais.</w:t>
      </w:r>
    </w:p>
    <w:p w:rsidR="00321C5C" w:rsidRDefault="00321C5C" w:rsidP="00321C5C">
      <w:pPr>
        <w:spacing w:after="80"/>
        <w:jc w:val="both"/>
      </w:pPr>
      <w:r>
        <w:t>Entretanto, o assunto ascendeu:</w:t>
      </w:r>
    </w:p>
    <w:p w:rsidR="00321C5C" w:rsidRDefault="00321C5C" w:rsidP="00321C5C">
      <w:pPr>
        <w:pStyle w:val="PargrafodaLista"/>
        <w:numPr>
          <w:ilvl w:val="0"/>
          <w:numId w:val="1"/>
        </w:numPr>
        <w:spacing w:after="40"/>
        <w:ind w:left="714" w:hanging="357"/>
        <w:contextualSpacing w:val="0"/>
        <w:jc w:val="both"/>
      </w:pPr>
      <w:r>
        <w:rPr>
          <w:rFonts w:cstheme="minorHAnsi"/>
        </w:rPr>
        <w:t xml:space="preserve">Ao Conselho Superior Militar (CSM), o </w:t>
      </w:r>
      <w:r>
        <w:t>principal órgão de consulta do MDN;</w:t>
      </w:r>
    </w:p>
    <w:p w:rsidR="00321C5C" w:rsidRDefault="00321C5C" w:rsidP="00321C5C">
      <w:pPr>
        <w:pStyle w:val="PargrafodaLista"/>
        <w:numPr>
          <w:ilvl w:val="0"/>
          <w:numId w:val="1"/>
        </w:numPr>
        <w:spacing w:after="40"/>
        <w:ind w:left="714" w:hanging="357"/>
        <w:contextualSpacing w:val="0"/>
        <w:jc w:val="both"/>
      </w:pPr>
      <w:r>
        <w:t xml:space="preserve">Ao </w:t>
      </w:r>
      <w:r>
        <w:rPr>
          <w:rFonts w:cstheme="minorHAnsi"/>
        </w:rPr>
        <w:t>Conselho Superior da Defesa Nacional (CSDN), o órgão de Estado específico de consulta para os assuntos relativos à defesa nacional e à organização e funcionamento das FFAA;</w:t>
      </w:r>
    </w:p>
    <w:p w:rsidR="00321C5C" w:rsidRDefault="00321C5C" w:rsidP="00321C5C">
      <w:pPr>
        <w:pStyle w:val="PargrafodaLista"/>
        <w:numPr>
          <w:ilvl w:val="0"/>
          <w:numId w:val="1"/>
        </w:numPr>
        <w:spacing w:after="8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Ao Conselho de Estado, o órgão político de consulta do Presidente da República</w:t>
      </w:r>
      <w:r w:rsidR="00F3300C">
        <w:rPr>
          <w:rFonts w:cstheme="minorHAnsi"/>
        </w:rPr>
        <w:t>, situação que jamais se tinha verificado e que evidencia bem a ponderação que deve ser associada a este processo.</w:t>
      </w:r>
      <w:r>
        <w:rPr>
          <w:rFonts w:cstheme="minorHAnsi"/>
        </w:rPr>
        <w:t xml:space="preserve"> </w:t>
      </w:r>
    </w:p>
    <w:p w:rsidR="00321C5C" w:rsidRDefault="00321C5C" w:rsidP="00321C5C">
      <w:pPr>
        <w:spacing w:after="80"/>
        <w:jc w:val="both"/>
      </w:pPr>
      <w:r w:rsidRPr="00321C5C">
        <w:t>Neste âmbito, verificaram-se os seguintes desenvolvimentos:</w:t>
      </w:r>
    </w:p>
    <w:p w:rsidR="00321C5C" w:rsidRDefault="00321C5C" w:rsidP="00321C5C">
      <w:pPr>
        <w:pStyle w:val="PargrafodaLista"/>
        <w:numPr>
          <w:ilvl w:val="0"/>
          <w:numId w:val="1"/>
        </w:numPr>
        <w:spacing w:after="4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No CSM de 16 de fevereiro, o MDN apresentou as linhas gerais da reforma, até então desconhecidas dos Chefes de Estado-Maior (CEM) dos ramos;</w:t>
      </w:r>
    </w:p>
    <w:p w:rsidR="00321C5C" w:rsidRDefault="00321C5C" w:rsidP="00321C5C">
      <w:pPr>
        <w:pStyle w:val="PargrafodaLista"/>
        <w:numPr>
          <w:ilvl w:val="0"/>
          <w:numId w:val="1"/>
        </w:numPr>
        <w:spacing w:after="4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No CSM realizado em 12 de março, foram apresentados os projetos de revisão da Lei da Defesa Nacional (LDN) e da Lei Orgânica de Bases de Organização das Forças Armadas (LOBOFA), distribuídos pouco antes aos CEM dos ramos;</w:t>
      </w:r>
    </w:p>
    <w:p w:rsidR="00321C5C" w:rsidRDefault="00321C5C" w:rsidP="00321C5C">
      <w:pPr>
        <w:pStyle w:val="PargrafodaLista"/>
        <w:numPr>
          <w:ilvl w:val="0"/>
          <w:numId w:val="1"/>
        </w:numPr>
        <w:spacing w:after="4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O CSDN reuniu em 15 de março;</w:t>
      </w:r>
    </w:p>
    <w:p w:rsidR="00321C5C" w:rsidRPr="00F85CC4" w:rsidRDefault="00321C5C" w:rsidP="00321C5C">
      <w:pPr>
        <w:pStyle w:val="PargrafodaLista"/>
        <w:numPr>
          <w:ilvl w:val="0"/>
          <w:numId w:val="1"/>
        </w:numPr>
        <w:spacing w:after="40"/>
        <w:ind w:left="714" w:hanging="357"/>
        <w:contextualSpacing w:val="0"/>
        <w:jc w:val="both"/>
        <w:rPr>
          <w:rFonts w:cstheme="minorHAnsi"/>
        </w:rPr>
      </w:pPr>
      <w:r w:rsidRPr="00F85CC4">
        <w:rPr>
          <w:rFonts w:cstheme="minorHAnsi"/>
        </w:rPr>
        <w:t>O Conselho de Estado reuniu em 19 de março</w:t>
      </w:r>
      <w:r>
        <w:rPr>
          <w:rFonts w:cstheme="minorHAnsi"/>
        </w:rPr>
        <w:t>.</w:t>
      </w:r>
    </w:p>
    <w:p w:rsidR="00321C5C" w:rsidRPr="00D0290F" w:rsidRDefault="00321C5C" w:rsidP="00321C5C">
      <w:pPr>
        <w:pStyle w:val="PargrafodaLista"/>
        <w:numPr>
          <w:ilvl w:val="0"/>
          <w:numId w:val="1"/>
        </w:numPr>
        <w:spacing w:after="120"/>
        <w:contextualSpacing w:val="0"/>
        <w:jc w:val="both"/>
        <w:rPr>
          <w:rFonts w:cstheme="minorHAnsi"/>
        </w:rPr>
      </w:pPr>
      <w:r w:rsidRPr="00D0290F">
        <w:rPr>
          <w:rFonts w:cstheme="minorHAnsi"/>
        </w:rPr>
        <w:t>O CSM foi novamente convocado para 30 de março, mas não veio a público qualquer indicação do que se terá passado na reunião. No entanto, foi muito comentada em círculos militares uma insinuação, publicada em 27 de março num jornal diário, de que a posição das chefias militares no Conselho “poderia ditar-lhes o futuro na hierarquia”.</w:t>
      </w:r>
    </w:p>
    <w:p w:rsidR="00321C5C" w:rsidRPr="00321C5C" w:rsidRDefault="00321C5C" w:rsidP="00321C5C">
      <w:pPr>
        <w:spacing w:after="80"/>
        <w:jc w:val="both"/>
      </w:pPr>
      <w:r w:rsidRPr="00321C5C">
        <w:t>Para concluir este texto vale a pena resumir a nossa posição:</w:t>
      </w:r>
    </w:p>
    <w:p w:rsidR="00F3300C" w:rsidRDefault="00321C5C" w:rsidP="00321C5C">
      <w:pPr>
        <w:pStyle w:val="PargrafodaLista"/>
        <w:numPr>
          <w:ilvl w:val="0"/>
          <w:numId w:val="2"/>
        </w:numPr>
        <w:spacing w:after="120"/>
        <w:contextualSpacing w:val="0"/>
        <w:jc w:val="both"/>
        <w:rPr>
          <w:rFonts w:cstheme="minorHAnsi"/>
        </w:rPr>
      </w:pPr>
      <w:r w:rsidRPr="00203C4E">
        <w:rPr>
          <w:rFonts w:cstheme="minorHAnsi"/>
        </w:rPr>
        <w:t xml:space="preserve">Em termos gerais, consideramos que as questões da </w:t>
      </w:r>
      <w:r w:rsidR="00F3300C">
        <w:rPr>
          <w:rFonts w:cstheme="minorHAnsi"/>
        </w:rPr>
        <w:t>D</w:t>
      </w:r>
      <w:r w:rsidRPr="00203C4E">
        <w:rPr>
          <w:rFonts w:cstheme="minorHAnsi"/>
        </w:rPr>
        <w:t xml:space="preserve">efesa </w:t>
      </w:r>
      <w:r w:rsidR="00F3300C">
        <w:rPr>
          <w:rFonts w:cstheme="minorHAnsi"/>
        </w:rPr>
        <w:t>N</w:t>
      </w:r>
      <w:r w:rsidRPr="00203C4E">
        <w:rPr>
          <w:rFonts w:cstheme="minorHAnsi"/>
        </w:rPr>
        <w:t xml:space="preserve">acional e das Forças Armadas devem ser tratados com prudência e em </w:t>
      </w:r>
      <w:r>
        <w:rPr>
          <w:rFonts w:cstheme="minorHAnsi"/>
        </w:rPr>
        <w:t xml:space="preserve">todas as </w:t>
      </w:r>
      <w:r w:rsidRPr="00203C4E">
        <w:rPr>
          <w:rFonts w:cstheme="minorHAnsi"/>
        </w:rPr>
        <w:t>dimensões, designadamente: de acordo com os princípios e normas estabelecidos na lei (com escrúpulo e sem distensões); no equilíbrio entre as lições do passado, os desafios do presente e a salvaguarda do futuro; com visibilidade, transparência e verdade; no respeito pelas metodologias e práticas em vigor (e portanto sem contornos ou atalhos processuais); com competência e ponderação (de modo a evitar movimentos de aceleração, de paralisia e de falsa mobilidade nos processos).</w:t>
      </w:r>
    </w:p>
    <w:p w:rsidR="00321C5C" w:rsidRPr="00F3300C" w:rsidRDefault="001E2DD2" w:rsidP="00F3300C">
      <w:pPr>
        <w:pStyle w:val="PargrafodaLista"/>
        <w:numPr>
          <w:ilvl w:val="0"/>
          <w:numId w:val="2"/>
        </w:numPr>
        <w:spacing w:after="120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>E</w:t>
      </w:r>
      <w:r w:rsidR="00F3300C">
        <w:rPr>
          <w:rFonts w:cstheme="minorHAnsi"/>
        </w:rPr>
        <w:t xml:space="preserve">ntendemos que os gravíssimos problemas com que as FFAA se debatem não têm a ver com a </w:t>
      </w:r>
      <w:r>
        <w:rPr>
          <w:rFonts w:cstheme="minorHAnsi"/>
        </w:rPr>
        <w:t>sua macro</w:t>
      </w:r>
      <w:r w:rsidR="00F3300C">
        <w:rPr>
          <w:rFonts w:cstheme="minorHAnsi"/>
        </w:rPr>
        <w:t>estru</w:t>
      </w:r>
      <w:r>
        <w:rPr>
          <w:rFonts w:cstheme="minorHAnsi"/>
        </w:rPr>
        <w:t>tu</w:t>
      </w:r>
      <w:r w:rsidR="00F3300C">
        <w:rPr>
          <w:rFonts w:cstheme="minorHAnsi"/>
        </w:rPr>
        <w:t xml:space="preserve">ra, residem, sim, na desproporção entre objetivos e recursos disponibilizados para </w:t>
      </w:r>
      <w:r>
        <w:rPr>
          <w:rFonts w:cstheme="minorHAnsi"/>
        </w:rPr>
        <w:t>a operação</w:t>
      </w:r>
      <w:r w:rsidR="00F3300C">
        <w:rPr>
          <w:rFonts w:cstheme="minorHAnsi"/>
        </w:rPr>
        <w:t xml:space="preserve"> e manutenção de meios,</w:t>
      </w:r>
      <w:r>
        <w:rPr>
          <w:rFonts w:cstheme="minorHAnsi"/>
        </w:rPr>
        <w:t xml:space="preserve"> </w:t>
      </w:r>
      <w:r w:rsidR="00F3300C">
        <w:rPr>
          <w:rFonts w:cstheme="minorHAnsi"/>
        </w:rPr>
        <w:t xml:space="preserve">na discriminação negativa, em relação a outros órgãos e </w:t>
      </w:r>
      <w:r>
        <w:rPr>
          <w:rFonts w:cstheme="minorHAnsi"/>
        </w:rPr>
        <w:t>servidores do</w:t>
      </w:r>
      <w:r w:rsidR="00F3300C">
        <w:rPr>
          <w:rFonts w:cstheme="minorHAnsi"/>
        </w:rPr>
        <w:t xml:space="preserve"> estado e, nos sucessivos atropelos à unidade, princípios e </w:t>
      </w:r>
      <w:r>
        <w:rPr>
          <w:rFonts w:cstheme="minorHAnsi"/>
        </w:rPr>
        <w:t>valores que</w:t>
      </w:r>
      <w:r w:rsidR="00F3300C">
        <w:rPr>
          <w:rFonts w:cstheme="minorHAnsi"/>
        </w:rPr>
        <w:t xml:space="preserve"> sempre pautaram a cultura militar.   </w:t>
      </w:r>
    </w:p>
    <w:p w:rsidR="00321C5C" w:rsidRDefault="001E2DD2" w:rsidP="00321C5C">
      <w:pPr>
        <w:pStyle w:val="PargrafodaLista"/>
        <w:numPr>
          <w:ilvl w:val="0"/>
          <w:numId w:val="2"/>
        </w:numPr>
        <w:spacing w:after="40"/>
        <w:ind w:left="714" w:hanging="357"/>
        <w:contextualSpacing w:val="0"/>
        <w:jc w:val="both"/>
      </w:pPr>
      <w:r>
        <w:rPr>
          <w:rFonts w:cstheme="minorHAnsi"/>
        </w:rPr>
        <w:t>Cumulativamente e</w:t>
      </w:r>
      <w:r w:rsidR="00321C5C" w:rsidRPr="00203C4E">
        <w:rPr>
          <w:rFonts w:cstheme="minorHAnsi"/>
        </w:rPr>
        <w:t xml:space="preserve">ntendemos, como temos referido reiteradamente, que a atual estrutura superior das FFAA é </w:t>
      </w:r>
      <w:r>
        <w:rPr>
          <w:rFonts w:cstheme="minorHAnsi"/>
        </w:rPr>
        <w:t xml:space="preserve">no geral </w:t>
      </w:r>
      <w:r w:rsidR="00321C5C" w:rsidRPr="00203C4E">
        <w:rPr>
          <w:rFonts w:cstheme="minorHAnsi"/>
        </w:rPr>
        <w:t>equilibrada e tem produzido bons resultados. Por isso, a sua eventual alteração, com maiores ou menores arranjos, deve ser objeto de grande ponderação e prudência; e, em qualquer caso, tal passo só deve ser considerado depois de estarem estudadas e rigorosamente esclarecidas todas as suas implicações no presente, no médio e no longo prazo.</w:t>
      </w:r>
    </w:p>
    <w:p w:rsidR="00321C5C" w:rsidRPr="001E2DD2" w:rsidRDefault="00321C5C" w:rsidP="001E2DD2">
      <w:pPr>
        <w:pStyle w:val="PargrafodaLista"/>
        <w:numPr>
          <w:ilvl w:val="0"/>
          <w:numId w:val="2"/>
        </w:numPr>
        <w:spacing w:after="40"/>
        <w:ind w:left="714" w:hanging="357"/>
        <w:contextualSpacing w:val="0"/>
        <w:jc w:val="both"/>
        <w:rPr>
          <w:rFonts w:cstheme="minorHAnsi"/>
        </w:rPr>
      </w:pPr>
      <w:r>
        <w:t xml:space="preserve">Pensamos que a solução de concentrar numa única entidade </w:t>
      </w:r>
      <w:r>
        <w:rPr>
          <w:rFonts w:cstheme="minorHAnsi"/>
        </w:rPr>
        <w:t>–</w:t>
      </w:r>
      <w:r>
        <w:t xml:space="preserve"> o CEMGFA </w:t>
      </w:r>
      <w:r>
        <w:rPr>
          <w:rFonts w:cstheme="minorHAnsi"/>
        </w:rPr>
        <w:t>–</w:t>
      </w:r>
      <w:r>
        <w:t xml:space="preserve"> todo o poder de decisão a nível estratégico e operacional, e de juntar as competências e prerrogativas de comandante de forças e de administrador de topo, faz desaparecer a maior parte dos graus intermédios de comando e de direção</w:t>
      </w:r>
      <w:r w:rsidR="001E2DD2">
        <w:t>,</w:t>
      </w:r>
      <w:r>
        <w:t xml:space="preserve"> </w:t>
      </w:r>
      <w:r w:rsidR="001E2DD2">
        <w:t xml:space="preserve">e será uma fonte de permanente </w:t>
      </w:r>
      <w:r w:rsidR="00A24079">
        <w:t>atrito entre</w:t>
      </w:r>
      <w:r w:rsidR="001E2DD2">
        <w:t xml:space="preserve"> os patamares MDN, CEMGFA e CEM que se repercutirá na eficiência da estrutura e na eficácia da operação.</w:t>
      </w:r>
    </w:p>
    <w:p w:rsidR="00321C5C" w:rsidRDefault="00321C5C" w:rsidP="00321C5C">
      <w:pPr>
        <w:pStyle w:val="PargrafodaLista"/>
        <w:numPr>
          <w:ilvl w:val="0"/>
          <w:numId w:val="2"/>
        </w:numPr>
        <w:spacing w:after="120"/>
        <w:contextualSpacing w:val="0"/>
        <w:jc w:val="both"/>
      </w:pPr>
      <w:r>
        <w:t>Em complemento dos inconvenientes e riscos</w:t>
      </w:r>
      <w:r w:rsidRPr="00FE4749">
        <w:t xml:space="preserve"> </w:t>
      </w:r>
      <w:r>
        <w:t>potenciais desta opção que identificamos n</w:t>
      </w:r>
      <w:r w:rsidRPr="00203C4E">
        <w:rPr>
          <w:rFonts w:cstheme="minorHAnsi"/>
        </w:rPr>
        <w:t xml:space="preserve">o estudo </w:t>
      </w:r>
      <w:r>
        <w:rPr>
          <w:rFonts w:cstheme="minorHAnsi"/>
        </w:rPr>
        <w:t xml:space="preserve">elaborado </w:t>
      </w:r>
      <w:r w:rsidRPr="00203C4E">
        <w:rPr>
          <w:rFonts w:cstheme="minorHAnsi"/>
        </w:rPr>
        <w:t xml:space="preserve">em </w:t>
      </w:r>
      <w:r>
        <w:rPr>
          <w:rFonts w:cstheme="minorHAnsi"/>
        </w:rPr>
        <w:t xml:space="preserve">05 de março, </w:t>
      </w:r>
      <w:r>
        <w:t>talvez seja útil acrescentar que a nossa opinião é independente dos titulares do cargo, sejam eles quem forem</w:t>
      </w:r>
      <w:r w:rsidR="001E2DD2">
        <w:t>.</w:t>
      </w:r>
      <w:r>
        <w:t xml:space="preserve"> </w:t>
      </w:r>
    </w:p>
    <w:p w:rsidR="00321C5C" w:rsidRDefault="00321C5C" w:rsidP="006A6A78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Entretanto, o processo continua a fazer o seu </w:t>
      </w:r>
      <w:r w:rsidR="001E2DD2">
        <w:rPr>
          <w:rFonts w:cstheme="minorHAnsi"/>
        </w:rPr>
        <w:t xml:space="preserve">“apressado” </w:t>
      </w:r>
      <w:r>
        <w:rPr>
          <w:rFonts w:cstheme="minorHAnsi"/>
        </w:rPr>
        <w:t>caminho, porventura excessiv</w:t>
      </w:r>
      <w:r w:rsidR="00A24079">
        <w:rPr>
          <w:rFonts w:cstheme="minorHAnsi"/>
        </w:rPr>
        <w:t>o</w:t>
      </w:r>
      <w:r>
        <w:rPr>
          <w:rFonts w:cstheme="minorHAnsi"/>
        </w:rPr>
        <w:t xml:space="preserve"> face às fragilidades apontadas na sua preparação e ao volume de desconfianças acumulado</w:t>
      </w:r>
      <w:r w:rsidR="006A6A78">
        <w:rPr>
          <w:rFonts w:cstheme="minorHAnsi"/>
        </w:rPr>
        <w:t>.</w:t>
      </w:r>
      <w:r w:rsidR="007610EB">
        <w:rPr>
          <w:rFonts w:cstheme="minorHAnsi"/>
        </w:rPr>
        <w:t xml:space="preserve"> </w:t>
      </w:r>
      <w:r w:rsidR="00A24079">
        <w:rPr>
          <w:rFonts w:cstheme="minorHAnsi"/>
        </w:rPr>
        <w:t xml:space="preserve">Invocam-se </w:t>
      </w:r>
      <w:r w:rsidR="001E013C">
        <w:rPr>
          <w:rFonts w:cstheme="minorHAnsi"/>
        </w:rPr>
        <w:t xml:space="preserve">inclusivamente </w:t>
      </w:r>
      <w:r w:rsidR="00A24079">
        <w:rPr>
          <w:rFonts w:cstheme="minorHAnsi"/>
        </w:rPr>
        <w:t xml:space="preserve">consensos na estrutura </w:t>
      </w:r>
      <w:r w:rsidR="00F6470E">
        <w:rPr>
          <w:rFonts w:cstheme="minorHAnsi"/>
        </w:rPr>
        <w:t>militar, o</w:t>
      </w:r>
      <w:r>
        <w:rPr>
          <w:rFonts w:cstheme="minorHAnsi"/>
        </w:rPr>
        <w:t xml:space="preserve"> Conselho de Ministros apro</w:t>
      </w:r>
      <w:r w:rsidR="001E013C">
        <w:rPr>
          <w:rFonts w:cstheme="minorHAnsi"/>
        </w:rPr>
        <w:t>va</w:t>
      </w:r>
      <w:r>
        <w:rPr>
          <w:rFonts w:cstheme="minorHAnsi"/>
        </w:rPr>
        <w:t xml:space="preserve"> </w:t>
      </w:r>
      <w:r w:rsidR="00A24079">
        <w:rPr>
          <w:rFonts w:cstheme="minorHAnsi"/>
        </w:rPr>
        <w:t xml:space="preserve">as </w:t>
      </w:r>
      <w:r>
        <w:rPr>
          <w:rFonts w:cstheme="minorHAnsi"/>
        </w:rPr>
        <w:t xml:space="preserve">duas propostas de lei que visam a reforma do comando superior das Forças Armadas, </w:t>
      </w:r>
      <w:r w:rsidR="00A24079">
        <w:rPr>
          <w:rFonts w:cstheme="minorHAnsi"/>
        </w:rPr>
        <w:t xml:space="preserve">a que se segue </w:t>
      </w:r>
      <w:r w:rsidR="00542EF8">
        <w:rPr>
          <w:rFonts w:cstheme="minorHAnsi"/>
        </w:rPr>
        <w:t xml:space="preserve">o seu </w:t>
      </w:r>
      <w:r w:rsidR="00F6470E">
        <w:rPr>
          <w:rFonts w:cstheme="minorHAnsi"/>
        </w:rPr>
        <w:t>encaminhamento para</w:t>
      </w:r>
      <w:r w:rsidR="00542EF8">
        <w:rPr>
          <w:rFonts w:cstheme="minorHAnsi"/>
        </w:rPr>
        <w:t xml:space="preserve"> a </w:t>
      </w:r>
      <w:r>
        <w:rPr>
          <w:rFonts w:cstheme="minorHAnsi"/>
        </w:rPr>
        <w:t>Assembleia da República</w:t>
      </w:r>
      <w:r w:rsidR="001E35E6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1E35E6">
        <w:rPr>
          <w:rFonts w:cstheme="minorHAnsi"/>
        </w:rPr>
        <w:t xml:space="preserve">sem que a versão </w:t>
      </w:r>
      <w:r w:rsidR="001E35E6" w:rsidRPr="00542EF8">
        <w:rPr>
          <w:rFonts w:cstheme="minorHAnsi"/>
          <w:sz w:val="24"/>
          <w:szCs w:val="24"/>
        </w:rPr>
        <w:t>apresentada</w:t>
      </w:r>
      <w:r w:rsidR="001E35E6">
        <w:rPr>
          <w:rFonts w:cstheme="minorHAnsi"/>
        </w:rPr>
        <w:t xml:space="preserve"> seja, por ela, minimamente conhecida</w:t>
      </w:r>
    </w:p>
    <w:p w:rsidR="00321C5C" w:rsidRDefault="00321C5C" w:rsidP="00321C5C">
      <w:pPr>
        <w:spacing w:after="120"/>
        <w:ind w:left="708"/>
        <w:jc w:val="both"/>
        <w:rPr>
          <w:rFonts w:cstheme="minorHAnsi"/>
        </w:rPr>
      </w:pPr>
    </w:p>
    <w:p w:rsidR="006B3C7F" w:rsidRDefault="006B3C7F" w:rsidP="00321C5C">
      <w:pPr>
        <w:spacing w:after="120"/>
        <w:jc w:val="right"/>
        <w:rPr>
          <w:rFonts w:cstheme="minorHAnsi"/>
        </w:rPr>
      </w:pPr>
    </w:p>
    <w:p w:rsidR="006B3C7F" w:rsidRDefault="006B3C7F" w:rsidP="00321C5C">
      <w:pPr>
        <w:spacing w:after="120"/>
        <w:jc w:val="right"/>
        <w:rPr>
          <w:rFonts w:cstheme="minorHAnsi"/>
        </w:rPr>
      </w:pPr>
    </w:p>
    <w:p w:rsidR="00B4393F" w:rsidRDefault="00321C5C" w:rsidP="00321C5C">
      <w:pPr>
        <w:spacing w:after="120"/>
        <w:jc w:val="right"/>
      </w:pPr>
      <w:r>
        <w:rPr>
          <w:rFonts w:cstheme="minorHAnsi"/>
        </w:rPr>
        <w:t>Lisboa, 08 de abril de 2021</w:t>
      </w:r>
    </w:p>
    <w:sectPr w:rsidR="00B4393F" w:rsidSect="006816FA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0F9" w:rsidRDefault="00CB60F9" w:rsidP="00321C5C">
      <w:pPr>
        <w:spacing w:after="0" w:line="240" w:lineRule="auto"/>
      </w:pPr>
      <w:r>
        <w:separator/>
      </w:r>
    </w:p>
  </w:endnote>
  <w:endnote w:type="continuationSeparator" w:id="0">
    <w:p w:rsidR="00CB60F9" w:rsidRDefault="00CB60F9" w:rsidP="0032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940756"/>
      <w:docPartObj>
        <w:docPartGallery w:val="Page Numbers (Bottom of Page)"/>
        <w:docPartUnique/>
      </w:docPartObj>
    </w:sdtPr>
    <w:sdtContent>
      <w:p w:rsidR="00321C5C" w:rsidRDefault="006816FA">
        <w:pPr>
          <w:pStyle w:val="Rodap"/>
          <w:jc w:val="right"/>
        </w:pPr>
        <w:r>
          <w:fldChar w:fldCharType="begin"/>
        </w:r>
        <w:r w:rsidR="00321C5C">
          <w:instrText>PAGE   \* MERGEFORMAT</w:instrText>
        </w:r>
        <w:r>
          <w:fldChar w:fldCharType="separate"/>
        </w:r>
        <w:r w:rsidR="009569FA">
          <w:rPr>
            <w:noProof/>
          </w:rPr>
          <w:t>1</w:t>
        </w:r>
        <w:r>
          <w:fldChar w:fldCharType="end"/>
        </w:r>
      </w:p>
    </w:sdtContent>
  </w:sdt>
  <w:p w:rsidR="00321C5C" w:rsidRDefault="00321C5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0F9" w:rsidRDefault="00CB60F9" w:rsidP="00321C5C">
      <w:pPr>
        <w:spacing w:after="0" w:line="240" w:lineRule="auto"/>
      </w:pPr>
      <w:r>
        <w:separator/>
      </w:r>
    </w:p>
  </w:footnote>
  <w:footnote w:type="continuationSeparator" w:id="0">
    <w:p w:rsidR="00CB60F9" w:rsidRDefault="00CB60F9" w:rsidP="00321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7246F"/>
    <w:multiLevelType w:val="hybridMultilevel"/>
    <w:tmpl w:val="E2C892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E0405"/>
    <w:multiLevelType w:val="hybridMultilevel"/>
    <w:tmpl w:val="D9DA2E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C5C"/>
    <w:rsid w:val="001A011D"/>
    <w:rsid w:val="001E013C"/>
    <w:rsid w:val="001E2DD2"/>
    <w:rsid w:val="001E35E6"/>
    <w:rsid w:val="002320C3"/>
    <w:rsid w:val="00321C5C"/>
    <w:rsid w:val="00530C34"/>
    <w:rsid w:val="00542EF8"/>
    <w:rsid w:val="006816FA"/>
    <w:rsid w:val="006A6A78"/>
    <w:rsid w:val="006B3C7F"/>
    <w:rsid w:val="007610EB"/>
    <w:rsid w:val="007B4C35"/>
    <w:rsid w:val="00820AE5"/>
    <w:rsid w:val="008F4002"/>
    <w:rsid w:val="009569FA"/>
    <w:rsid w:val="00A24079"/>
    <w:rsid w:val="00B4393F"/>
    <w:rsid w:val="00C83243"/>
    <w:rsid w:val="00CB60F9"/>
    <w:rsid w:val="00E23527"/>
    <w:rsid w:val="00F3300C"/>
    <w:rsid w:val="00F6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5C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321C5C"/>
    <w:rPr>
      <w:color w:val="0563C1" w:themeColor="hyperlink"/>
      <w:u w:val="single"/>
    </w:rPr>
  </w:style>
  <w:style w:type="paragraph" w:styleId="ndice2">
    <w:name w:val="toc 2"/>
    <w:basedOn w:val="Normal"/>
    <w:next w:val="Normal"/>
    <w:autoRedefine/>
    <w:uiPriority w:val="39"/>
    <w:semiHidden/>
    <w:unhideWhenUsed/>
    <w:rsid w:val="00321C5C"/>
    <w:pPr>
      <w:tabs>
        <w:tab w:val="right" w:leader="dot" w:pos="8494"/>
      </w:tabs>
      <w:spacing w:after="120" w:line="254" w:lineRule="auto"/>
      <w:ind w:left="284" w:right="284"/>
      <w:jc w:val="both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321C5C"/>
    <w:pPr>
      <w:spacing w:after="160" w:line="254" w:lineRule="auto"/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21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21C5C"/>
  </w:style>
  <w:style w:type="paragraph" w:styleId="Rodap">
    <w:name w:val="footer"/>
    <w:basedOn w:val="Normal"/>
    <w:link w:val="RodapCarcter"/>
    <w:uiPriority w:val="99"/>
    <w:unhideWhenUsed/>
    <w:rsid w:val="00321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21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tp\AppData\Local\Microsoft\Windows\Temporary%20Internet%20Files\Content.Outlook\81TODIYM\GREI_P&#250;blico%20(2)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rtp\AppData\Local\Microsoft\Windows\Temporary%20Internet%20Files\Content.Outlook\81TODIYM\GREI_P&#250;blico%20(2).docx" TargetMode="External"/><Relationship Id="rId12" Type="http://schemas.openxmlformats.org/officeDocument/2006/relationships/hyperlink" Target="file:///C:\Users\rtp\AppData\Local\Microsoft\Windows\Temporary%20Internet%20Files\Content.Outlook\81TODIYM\GREI_P&#250;blico%20(2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rtp\AppData\Local\Microsoft\Windows\Temporary%20Internet%20Files\Content.Outlook\81TODIYM\GREI_P&#250;blico%20(2)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rtp\AppData\Local\Microsoft\Windows\Temporary%20Internet%20Files\Content.Outlook\81TODIYM\GREI_P&#250;blico%20(2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rtp\AppData\Local\Microsoft\Windows\Temporary%20Internet%20Files\Content.Outlook\81TODIYM\GREI_P&#250;blico%20(2)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1483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Pires Neves</dc:creator>
  <cp:lastModifiedBy>fernando vargas</cp:lastModifiedBy>
  <cp:revision>2</cp:revision>
  <dcterms:created xsi:type="dcterms:W3CDTF">2021-04-09T11:45:00Z</dcterms:created>
  <dcterms:modified xsi:type="dcterms:W3CDTF">2021-04-09T11:45:00Z</dcterms:modified>
</cp:coreProperties>
</file>